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color w:val="000000"/>
        </w:rPr>
      </w:pPr>
      <w:r>
        <w:rPr>
          <w:rFonts w:ascii="Times New Roman"/>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color w:val="000000"/>
        </w:rPr>
        <w:instrText xml:space="preserve">ADDIN CNKISM.UserStyle</w:instrText>
      </w:r>
      <w:r>
        <w:rPr>
          <w:rFonts w:ascii="Times New Roman"/>
          <w:color w:val="000000"/>
        </w:rPr>
        <w:fldChar w:fldCharType="separate"/>
      </w:r>
      <w:r>
        <w:rPr>
          <w:rFonts w:ascii="Times New Roman"/>
          <w:color w:val="000000"/>
        </w:rPr>
        <w:fldChar w:fldCharType="end"/>
      </w:r>
      <w:r>
        <w:rPr>
          <w:rFonts w:ascii="Times New Roman"/>
          <w:color w:val="000000"/>
        </w:rPr>
        <w:t xml:space="preserve">ICS </w:t>
      </w:r>
    </w:p>
    <w:p>
      <w:pPr>
        <w:pStyle w:val="5"/>
        <w:rPr>
          <w:color w:val="000000"/>
        </w:rPr>
      </w:pPr>
      <w:r>
        <w:rPr>
          <w:rFonts w:ascii="Times New Roman"/>
          <w:color w:val="000000"/>
        </w:rPr>
        <w:t>CCS</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5"/>
              <w:rPr>
                <w:color w:val="000000"/>
              </w:rPr>
            </w:pPr>
            <w:r>
              <w:rPr>
                <w:color w:val="000000"/>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iuL+zVAAAABwEAAA8AAAAAAAAAAQAgAAAA&#10;IgAAAGRycy9kb3ducmV2LnhtbFBLAQIUABQAAAAIAIdO4kBMVUxenAEAAB4DAAAOAAAAAAAAAAEA&#10;IAAAACQBAABkcnMvZTJvRG9jLnhtbFBLBQYAAAAABgAGAFkBAAAyBQAAAAA=&#10;">
                      <v:fill on="t" focussize="0,0"/>
                      <v:stroke on="f"/>
                      <v:imagedata o:title=""/>
                      <o:lock v:ext="edit" aspectratio="f"/>
                    </v:rect>
                  </w:pict>
                </mc:Fallback>
              </mc:AlternateContent>
            </w:r>
            <w:r>
              <w:rPr>
                <w:color w:val="000000"/>
              </w:rPr>
              <w:fldChar w:fldCharType="begin">
                <w:ffData>
                  <w:name w:val="BAH"/>
                  <w:enabled/>
                  <w:calcOnExit w:val="0"/>
                  <w:textInput/>
                </w:ffData>
              </w:fldChar>
            </w:r>
            <w:bookmarkStart w:id="0" w:name="BAH"/>
            <w:r>
              <w:rPr>
                <w:color w:val="000000"/>
              </w:rPr>
              <w:instrText xml:space="preserve"> FORMTEXT </w:instrText>
            </w:r>
            <w:r>
              <w:rPr>
                <w:color w:val="000000"/>
              </w:rPr>
              <w:fldChar w:fldCharType="separate"/>
            </w:r>
            <w:r>
              <w:rPr>
                <w:color w:val="000000"/>
              </w:rPr>
              <w:t>     </w:t>
            </w:r>
            <w:r>
              <w:rPr>
                <w:color w:val="000000"/>
              </w:rPr>
              <w:fldChar w:fldCharType="end"/>
            </w:r>
            <w:bookmarkEnd w:id="0"/>
          </w:p>
        </w:tc>
      </w:tr>
    </w:tbl>
    <w:p>
      <w:pPr>
        <w:pStyle w:val="6"/>
        <w:rPr>
          <w:color w:val="000000"/>
        </w:rPr>
      </w:pPr>
      <w:r>
        <w:rPr>
          <w:color w:val="000000"/>
        </w:rPr>
        <w:t>DB3311</w:t>
      </w:r>
    </w:p>
    <w:p>
      <w:pPr>
        <w:pStyle w:val="8"/>
        <w:rPr>
          <w:color w:val="000000"/>
        </w:rPr>
      </w:pPr>
      <w:r>
        <w:rPr>
          <w:rFonts w:hint="eastAsia"/>
          <w:color w:val="000000"/>
        </w:rPr>
        <w:t>浙江省丽水市地方标准</w:t>
      </w:r>
    </w:p>
    <w:p>
      <w:pPr>
        <w:pStyle w:val="9"/>
        <w:rPr>
          <w:rFonts w:hAnsi="黑体"/>
          <w:color w:val="000000"/>
        </w:rPr>
      </w:pPr>
      <w:r>
        <w:rPr>
          <w:rFonts w:ascii="Times New Roman"/>
          <w:color w:val="000000"/>
        </w:rPr>
        <w:t xml:space="preserve">DB </w:t>
      </w:r>
      <w:r>
        <w:rPr>
          <w:rFonts w:hAnsi="黑体"/>
          <w:color w:val="000000"/>
        </w:rPr>
        <w:t>3311/</w:t>
      </w:r>
      <w:r>
        <w:rPr>
          <w:rFonts w:hint="eastAsia" w:hAnsi="黑体"/>
          <w:color w:val="000000"/>
        </w:rPr>
        <w:t>T</w:t>
      </w:r>
      <w:r>
        <w:rPr>
          <w:rFonts w:hAnsi="黑体"/>
          <w:color w:val="000000"/>
        </w:rPr>
        <w:t xml:space="preserve"> </w:t>
      </w:r>
      <w:r>
        <w:rPr>
          <w:rFonts w:hAnsi="黑体"/>
          <w:color w:val="000000"/>
        </w:rPr>
        <w:fldChar w:fldCharType="begin">
          <w:ffData>
            <w:name w:val="StdNo1"/>
            <w:enabled/>
            <w:calcOnExit w:val="0"/>
            <w:textInput>
              <w:default w:val="XXXXX"/>
            </w:textInput>
          </w:ffData>
        </w:fldChar>
      </w:r>
      <w:bookmarkStart w:id="1" w:name="StdNo1"/>
      <w:r>
        <w:rPr>
          <w:rFonts w:hAnsi="黑体"/>
          <w:color w:val="000000"/>
        </w:rPr>
        <w:instrText xml:space="preserve"> FORMTEXT </w:instrText>
      </w:r>
      <w:r>
        <w:rPr>
          <w:rFonts w:hAnsi="黑体"/>
          <w:color w:val="000000"/>
        </w:rPr>
        <w:fldChar w:fldCharType="separate"/>
      </w:r>
      <w:r>
        <w:rPr>
          <w:rFonts w:hAnsi="黑体"/>
          <w:color w:val="000000"/>
        </w:rPr>
        <w:t>XXXXX</w:t>
      </w:r>
      <w:r>
        <w:rPr>
          <w:rFonts w:hAnsi="黑体"/>
          <w:color w:val="000000"/>
        </w:rPr>
        <w:fldChar w:fldCharType="end"/>
      </w:r>
      <w:bookmarkEnd w:id="1"/>
      <w:r>
        <w:rPr>
          <w:rFonts w:hAnsi="黑体"/>
          <w:color w:val="000000"/>
        </w:rPr>
        <w:t>—</w:t>
      </w:r>
      <w:r>
        <w:rPr>
          <w:rFonts w:hAnsi="黑体"/>
          <w:color w:val="000000"/>
        </w:rPr>
        <w:fldChar w:fldCharType="begin">
          <w:ffData>
            <w:name w:val="StdNo2"/>
            <w:enabled/>
            <w:calcOnExit w:val="0"/>
            <w:textInput>
              <w:default w:val="XXXX"/>
              <w:maxLength w:val="4"/>
            </w:textInput>
          </w:ffData>
        </w:fldChar>
      </w:r>
      <w:bookmarkStart w:id="2" w:name="StdNo2"/>
      <w:r>
        <w:rPr>
          <w:rFonts w:hAnsi="黑体"/>
          <w:color w:val="000000"/>
        </w:rPr>
        <w:instrText xml:space="preserve"> FORMTEXT </w:instrText>
      </w:r>
      <w:r>
        <w:rPr>
          <w:rFonts w:hAnsi="黑体"/>
          <w:color w:val="000000"/>
        </w:rPr>
        <w:fldChar w:fldCharType="separate"/>
      </w:r>
      <w:r>
        <w:rPr>
          <w:rFonts w:hAnsi="黑体"/>
          <w:color w:val="000000"/>
        </w:rPr>
        <w:t>XXXX</w:t>
      </w:r>
      <w:r>
        <w:rPr>
          <w:rFonts w:hAnsi="黑体"/>
          <w:color w:val="000000"/>
        </w:rPr>
        <w:fldChar w:fldCharType="end"/>
      </w:r>
      <w:bookmarkEnd w:id="2"/>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10"/>
              <w:rPr>
                <w:color w:val="000000"/>
              </w:rPr>
            </w:pPr>
            <w:r>
              <w:rPr>
                <w:color w:val="000000"/>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5g8svWAAAACAEAAA8AAAAAAAAAAQAgAAAAIgAA&#10;AGRycy9kb3ducmV2LnhtbFBLAQIUABQAAAAIAIdO4kA8vDu+mAEAAB8DAAAOAAAAAAAAAAEAIAAA&#10;ACUBAABkcnMvZTJvRG9jLnhtbFBLBQYAAAAABgAGAFkBAAAvBQAAAAA=&#10;">
                      <v:fill on="t" focussize="0,0"/>
                      <v:stroke on="f"/>
                      <v:imagedata o:title=""/>
                      <o:lock v:ext="edit" aspectratio="f"/>
                    </v:rect>
                  </w:pict>
                </mc:Fallback>
              </mc:AlternateContent>
            </w:r>
            <w:r>
              <w:rPr>
                <w:color w:val="000000"/>
              </w:rPr>
              <w:fldChar w:fldCharType="begin">
                <w:ffData>
                  <w:name w:val="DT"/>
                  <w:enabled/>
                  <w:calcOnExit w:val="0"/>
                  <w:textInput/>
                </w:ffData>
              </w:fldChar>
            </w:r>
            <w:bookmarkStart w:id="3" w:name="DT"/>
            <w:r>
              <w:rPr>
                <w:color w:val="000000"/>
              </w:rPr>
              <w:instrText xml:space="preserve"> FORMTEXT </w:instrText>
            </w:r>
            <w:r>
              <w:rPr>
                <w:color w:val="000000"/>
              </w:rPr>
              <w:fldChar w:fldCharType="separate"/>
            </w:r>
            <w:r>
              <w:rPr>
                <w:color w:val="000000"/>
              </w:rPr>
              <w:t>     </w:t>
            </w:r>
            <w:r>
              <w:rPr>
                <w:color w:val="000000"/>
              </w:rPr>
              <w:fldChar w:fldCharType="end"/>
            </w:r>
            <w:bookmarkEnd w:id="3"/>
          </w:p>
        </w:tc>
      </w:tr>
    </w:tbl>
    <w:p>
      <w:pPr>
        <w:pStyle w:val="9"/>
        <w:rPr>
          <w:rFonts w:hAnsi="黑体"/>
          <w:color w:val="000000"/>
        </w:rPr>
      </w:pPr>
    </w:p>
    <w:p>
      <w:pPr>
        <w:pStyle w:val="9"/>
        <w:rPr>
          <w:rFonts w:hAnsi="黑体"/>
          <w:color w:val="000000"/>
        </w:rPr>
      </w:pPr>
    </w:p>
    <w:p>
      <w:pPr>
        <w:pStyle w:val="9"/>
        <w:framePr w:w="9639" w:h="6917" w:hRule="exact" w:hSpace="0" w:xAlign="center" w:y="6408"/>
        <w:jc w:val="center"/>
        <w:rPr>
          <w:rFonts w:hint="eastAsia"/>
          <w:color w:val="000000"/>
          <w:sz w:val="44"/>
          <w:szCs w:val="44"/>
          <w:lang w:eastAsia="zh-CN"/>
        </w:rPr>
      </w:pPr>
      <w:r>
        <w:rPr>
          <w:rFonts w:hint="eastAsia"/>
          <w:color w:val="000000"/>
          <w:sz w:val="44"/>
          <w:szCs w:val="44"/>
          <w:lang w:eastAsia="zh-CN"/>
        </w:rPr>
        <w:t>病媒防制器具使用技术规范</w:t>
      </w:r>
    </w:p>
    <w:p>
      <w:pPr>
        <w:pStyle w:val="9"/>
        <w:framePr w:w="9639" w:h="6917" w:hRule="exact" w:hSpace="0" w:xAlign="center" w:y="6408"/>
        <w:jc w:val="center"/>
        <w:rPr>
          <w:rFonts w:hint="eastAsia" w:eastAsia="黑体"/>
          <w:color w:val="000000"/>
          <w:sz w:val="44"/>
          <w:szCs w:val="44"/>
          <w:lang w:eastAsia="zh-CN"/>
        </w:rPr>
      </w:pPr>
      <w:r>
        <w:rPr>
          <w:rFonts w:hint="eastAsia"/>
          <w:color w:val="000000"/>
          <w:sz w:val="44"/>
          <w:szCs w:val="44"/>
          <w:lang w:val="en-US" w:eastAsia="zh-CN"/>
        </w:rPr>
        <w:t xml:space="preserve"> 第1部分：捕蝇笼</w:t>
      </w:r>
    </w:p>
    <w:p>
      <w:pPr>
        <w:pStyle w:val="11"/>
        <w:rPr>
          <w:color w:val="000000"/>
        </w:rPr>
      </w:pPr>
      <w:r>
        <w:rPr>
          <w:rFonts w:hint="eastAsia"/>
          <w:color w:val="000000"/>
        </w:rPr>
        <w:t>（</w:t>
      </w:r>
      <w:r>
        <w:rPr>
          <w:rFonts w:hint="eastAsia"/>
          <w:color w:val="000000"/>
          <w:lang w:eastAsia="zh-CN"/>
        </w:rPr>
        <w:t>征求意见</w:t>
      </w:r>
      <w:r>
        <w:rPr>
          <w:rFonts w:hint="eastAsia"/>
          <w:color w:val="000000"/>
        </w:rPr>
        <w:t>稿）</w:t>
      </w:r>
    </w:p>
    <w:p>
      <w:pPr>
        <w:pStyle w:val="11"/>
        <w:rPr>
          <w:color w:val="000000"/>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4"/>
              <w:rPr>
                <w:color w:val="000000"/>
              </w:rPr>
            </w:pPr>
            <w:r>
              <w:rPr>
                <w:color w:val="000000"/>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4" name="矩形 4"/>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muktUAAAAKAQAADwAAAAAAAAABACAAAAAiAAAA&#10;ZHJzL2Rvd25yZXYueG1sUEsBAhQAFAAAAAgAh07iQM3GmO6YAQAAHwMAAA4AAAAAAAAAAQAgAAAA&#10;JAEAAGRycy9lMm9Eb2MueG1sUEsFBgAAAAAGAAYAWQEAAC4FAAAAAA==&#10;">
                      <v:fill on="t" focussize="0,0"/>
                      <v:stroke on="f"/>
                      <v:imagedata o:title=""/>
                      <o:lock v:ext="edit" aspectratio="f"/>
                      <w10:anchorlock/>
                    </v:rect>
                  </w:pict>
                </mc:Fallback>
              </mc:AlternateContent>
            </w:r>
            <w:r>
              <w:rPr>
                <w:color w:val="000000"/>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 name="矩形 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Phi+XWAAAACQEAAA8AAAAAAAAAAQAgAAAAIgAA&#10;AGRycy9kb3ducmV2LnhtbFBLAQIUABQAAAAIAIdO4kAn/ik6mAEAAB8DAAAOAAAAAAAAAAEAIAAA&#10;ACUBAABkcnMvZTJvRG9jLnhtbFBLBQYAAAAABgAGAFkBAAAvBQAAAAA=&#10;">
                      <v:fill on="t" focussize="0,0"/>
                      <v:stroke on="f"/>
                      <v:imagedata o:title=""/>
                      <o:lock v:ext="edit" aspectratio="f"/>
                    </v:rect>
                  </w:pict>
                </mc:Fallback>
              </mc:AlternateContent>
            </w:r>
            <w:r>
              <w:rPr>
                <w:color w:val="000000"/>
              </w:rPr>
              <w:fldChar w:fldCharType="begin">
                <w:ffData>
                  <w:enabled/>
                  <w:calcOnExit w:val="0"/>
                  <w:ddList/>
                </w:ffData>
              </w:fldChar>
            </w:r>
            <w:bookmarkStart w:id="4" w:name="LB"/>
            <w:r>
              <w:rPr>
                <w:color w:val="000000"/>
              </w:rPr>
              <w:instrText xml:space="preserve"> FORMDROPDOWN </w:instrText>
            </w:r>
            <w:r>
              <w:rPr>
                <w:color w:val="000000"/>
              </w:rPr>
              <w:fldChar w:fldCharType="separate"/>
            </w:r>
            <w:r>
              <w:rPr>
                <w:color w:val="000000"/>
              </w:rPr>
              <w:fldChar w:fldCharType="end"/>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5"/>
              <w:rPr>
                <w:color w:val="000000"/>
              </w:rPr>
            </w:pPr>
            <w:r>
              <w:rPr>
                <w:color w:val="000000"/>
              </w:rPr>
              <w:fldChar w:fldCharType="begin">
                <w:ffData>
                  <w:name w:val="WCRQ"/>
                  <w:enabled/>
                  <w:calcOnExit w:val="0"/>
                  <w:textInput/>
                </w:ffData>
              </w:fldChar>
            </w:r>
            <w:bookmarkStart w:id="5" w:name="WCRQ"/>
            <w:r>
              <w:rPr>
                <w:color w:val="000000"/>
              </w:rPr>
              <w:instrText xml:space="preserve"> FORMTEXT </w:instrText>
            </w:r>
            <w:r>
              <w:rPr>
                <w:color w:val="000000"/>
              </w:rPr>
              <w:fldChar w:fldCharType="separate"/>
            </w:r>
            <w:r>
              <w:rPr>
                <w:color w:val="000000"/>
              </w:rPr>
              <w:t>     </w:t>
            </w:r>
            <w:r>
              <w:rPr>
                <w:color w:val="000000"/>
              </w:rPr>
              <w:fldChar w:fldCharType="end"/>
            </w:r>
            <w:bookmarkEnd w:id="5"/>
          </w:p>
        </w:tc>
      </w:tr>
    </w:tbl>
    <w:p>
      <w:pPr>
        <w:pStyle w:val="16"/>
        <w:rPr>
          <w:color w:val="000000"/>
        </w:rPr>
      </w:pPr>
      <w:r>
        <w:rPr>
          <w:rFonts w:ascii="黑体"/>
          <w:color w:val="000000"/>
        </w:rPr>
        <w:fldChar w:fldCharType="begin">
          <w:ffData>
            <w:name w:val="FY"/>
            <w:enabled/>
            <w:calcOnExit w:val="0"/>
            <w:textInput>
              <w:default w:val="XXXX"/>
              <w:maxLength w:val="4"/>
            </w:textInput>
          </w:ffData>
        </w:fldChar>
      </w:r>
      <w:bookmarkStart w:id="6"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6"/>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7"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7"/>
      <w:r>
        <w:rPr>
          <w:rFonts w:hint="eastAsia"/>
          <w:color w:val="000000"/>
        </w:rPr>
        <w:t>发布</w:t>
      </w:r>
      <w:r>
        <w:rPr>
          <w:color w:val="000000"/>
        </w:rP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WHazzWAAAACwEAAA8AAAAA&#10;AAAAAQAgAAAAIgAAAGRycy9kb3ducmV2LnhtbFBLAQIUABQAAAAIAIdO4kBNNyk73QEAAKQDAAAO&#10;AAAAAAAAAAEAIAAAACUBAABkcnMvZTJvRG9jLnhtbFBLBQYAAAAABgAGAFkBAAB0BQAAAAA=&#10;">
                <v:fill on="f" focussize="0,0"/>
                <v:stroke color="#000000" joinstyle="round"/>
                <v:imagedata o:title=""/>
                <o:lock v:ext="edit" aspectratio="f"/>
                <w10:anchorlock/>
              </v:line>
            </w:pict>
          </mc:Fallback>
        </mc:AlternateContent>
      </w:r>
    </w:p>
    <w:p>
      <w:pPr>
        <w:pStyle w:val="18"/>
        <w:rPr>
          <w:color w:val="000000"/>
        </w:rPr>
      </w:pPr>
      <w:r>
        <w:rPr>
          <w:rFonts w:ascii="黑体"/>
          <w:color w:val="000000"/>
        </w:rPr>
        <w:fldChar w:fldCharType="begin">
          <w:ffData>
            <w:name w:val="SY"/>
            <w:enabled/>
            <w:calcOnExit w:val="0"/>
            <w:textInput>
              <w:default w:val="XXXX"/>
              <w:maxLength w:val="4"/>
            </w:textInput>
          </w:ffData>
        </w:fldChar>
      </w:r>
      <w:bookmarkStart w:id="8"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8"/>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9"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9"/>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10"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10"/>
      <w:r>
        <w:rPr>
          <w:rFonts w:hint="eastAsia"/>
          <w:color w:val="000000"/>
        </w:rPr>
        <w:t>实施</w:t>
      </w:r>
    </w:p>
    <w:p>
      <w:pPr>
        <w:pStyle w:val="20"/>
        <w:rPr>
          <w:color w:val="000000"/>
        </w:rPr>
        <w:sectPr>
          <w:pgSz w:w="11906" w:h="16838"/>
          <w:pgMar w:top="567" w:right="850" w:bottom="1134" w:left="1418" w:header="0" w:footer="0" w:gutter="0"/>
          <w:pgNumType w:fmt="upperRoman" w:start="1"/>
          <w:cols w:space="720" w:num="1"/>
          <w:formProt w:val="0"/>
          <w:docGrid w:type="lines" w:linePitch="312" w:charSpace="0"/>
        </w:sectPr>
      </w:pPr>
      <w:r>
        <w:rPr>
          <w:rFonts w:hint="eastAsia"/>
          <w:color w:val="000000"/>
        </w:rPr>
        <w:t>浙江省丽水市市场监督管理局</w:t>
      </w:r>
      <w:r>
        <w:rPr>
          <w:rFonts w:hAnsi="黑体"/>
          <w:color w:val="000000"/>
        </w:rPr>
        <w:t>   </w:t>
      </w:r>
      <w:r>
        <w:rPr>
          <w:rStyle w:val="23"/>
          <w:rFonts w:hint="eastAsia"/>
          <w:color w:val="000000"/>
        </w:rPr>
        <w:t>发布</w:t>
      </w:r>
      <w:r>
        <w:rPr>
          <w:color w:val="000000"/>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184.25pt;height:0pt;width:481.9pt;z-index:25166438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CQeJf1wAAAAkBAAAPAAAA&#10;AAAAAAEAIAAAACIAAABkcnMvZG93bnJldi54bWxQSwECFAAUAAAACACHTuJAgrQy4N0BAACkAwAA&#10;DgAAAAAAAAABACAAAAAmAQAAZHJzL2Uyb0RvYy54bWxQSwUGAAAAAAYABgBZAQAAdQUAAAAA&#10;">
                <v:fill on="f" focussize="0,0"/>
                <v:stroke color="#000000" joinstyle="round"/>
                <v:imagedata o:title=""/>
                <o:lock v:ext="edit" aspectratio="f"/>
              </v:line>
            </w:pict>
          </mc:Fallback>
        </mc:AlternateContent>
      </w:r>
    </w:p>
    <w:p>
      <w:pPr>
        <w:pStyle w:val="24"/>
        <w:jc w:val="center"/>
        <w:rPr>
          <w:rFonts w:hint="eastAsia"/>
        </w:rPr>
      </w:pPr>
      <w:r>
        <w:rPr>
          <w:rFonts w:hint="eastAsia" w:ascii="仿宋_GB2312" w:hAnsi="仿宋"/>
          <w:b/>
          <w:bCs/>
          <w:sz w:val="36"/>
          <w:szCs w:val="36"/>
          <w:lang w:eastAsia="zh-CN"/>
        </w:rPr>
        <w:t>病媒防制器具使用技术规范</w:t>
      </w:r>
      <w:r>
        <w:rPr>
          <w:rFonts w:hint="eastAsia" w:ascii="仿宋_GB2312" w:hAnsi="仿宋"/>
          <w:b/>
          <w:bCs/>
          <w:sz w:val="36"/>
          <w:szCs w:val="36"/>
          <w:lang w:val="en-US" w:eastAsia="zh-CN"/>
        </w:rPr>
        <w:t xml:space="preserve"> 第1部分：捕蝇笼</w:t>
      </w:r>
    </w:p>
    <w:p>
      <w:pPr>
        <w:pStyle w:val="25"/>
        <w:numPr>
          <w:ilvl w:val="0"/>
          <w:numId w:val="0"/>
        </w:numPr>
        <w:rPr>
          <w:rFonts w:hint="eastAsia"/>
        </w:rPr>
      </w:pPr>
      <w:r>
        <w:rPr>
          <w:rFonts w:hint="eastAsia"/>
        </w:rPr>
        <w:t>1 范围</w:t>
      </w:r>
    </w:p>
    <w:p>
      <w:pPr>
        <w:widowControl/>
        <w:spacing w:before="90" w:line="300" w:lineRule="atLeast"/>
        <w:ind w:right="45" w:firstLine="420" w:firstLineChars="200"/>
        <w:rPr>
          <w:rFonts w:hint="eastAsia" w:ascii="宋体"/>
          <w:kern w:val="0"/>
          <w:szCs w:val="22"/>
        </w:rPr>
      </w:pPr>
      <w:r>
        <w:rPr>
          <w:rFonts w:hint="eastAsia" w:ascii="宋体"/>
          <w:kern w:val="0"/>
          <w:szCs w:val="22"/>
        </w:rPr>
        <w:t>本标准规定了术语和定义、捕蝇笼规格、捕蝇笼设置与维护、不</w:t>
      </w:r>
      <w:bookmarkStart w:id="11" w:name="_GoBack"/>
      <w:bookmarkEnd w:id="11"/>
      <w:r>
        <w:rPr>
          <w:rFonts w:hint="eastAsia" w:ascii="宋体"/>
          <w:kern w:val="0"/>
          <w:szCs w:val="22"/>
        </w:rPr>
        <w:t>同场所捕蝇笼布放方法、灭蝇效果评价。</w:t>
      </w:r>
    </w:p>
    <w:p>
      <w:pPr>
        <w:widowControl/>
        <w:spacing w:before="90" w:line="300" w:lineRule="atLeast"/>
        <w:ind w:right="45" w:firstLine="420" w:firstLineChars="200"/>
        <w:rPr>
          <w:rFonts w:hint="eastAsia" w:ascii="楷体" w:hAnsi="楷体" w:eastAsia="楷体"/>
          <w:sz w:val="24"/>
        </w:rPr>
      </w:pPr>
      <w:r>
        <w:rPr>
          <w:rFonts w:hint="eastAsia" w:ascii="宋体"/>
          <w:kern w:val="0"/>
          <w:szCs w:val="22"/>
        </w:rPr>
        <w:t>本标准适用于采取诱饵捕蝇技术时，捕蝇笼在捕蝇目标区域的使用。</w:t>
      </w:r>
    </w:p>
    <w:p>
      <w:pPr>
        <w:pStyle w:val="25"/>
        <w:numPr>
          <w:ilvl w:val="0"/>
          <w:numId w:val="0"/>
        </w:numPr>
        <w:rPr>
          <w:rFonts w:hint="eastAsia"/>
        </w:rPr>
      </w:pPr>
      <w:r>
        <w:rPr>
          <w:rFonts w:hint="eastAsia"/>
        </w:rPr>
        <w:t>2 规范性引用文件</w:t>
      </w:r>
    </w:p>
    <w:p>
      <w:pPr>
        <w:widowControl/>
        <w:spacing w:before="90" w:line="300" w:lineRule="atLeast"/>
        <w:ind w:right="45" w:firstLine="420" w:firstLineChars="200"/>
        <w:rPr>
          <w:rFonts w:hint="eastAsia" w:ascii="宋体"/>
          <w:kern w:val="0"/>
          <w:szCs w:val="22"/>
        </w:rPr>
      </w:pPr>
      <w:r>
        <w:rPr>
          <w:rFonts w:hint="eastAsia" w:ascii="宋体"/>
          <w:kern w:val="0"/>
          <w:szCs w:val="22"/>
        </w:rPr>
        <w:t>下列文件对于本文件的应用是必不可少的。凡是注日期的引用文件，仅所注日期的版本适用于本文件。凡是不注日期的引用文件，其最新版本（包括所有的修改单）适用于本文件。</w:t>
      </w:r>
    </w:p>
    <w:p>
      <w:pPr>
        <w:widowControl/>
        <w:spacing w:before="90" w:line="300" w:lineRule="atLeast"/>
        <w:ind w:right="45" w:firstLine="420" w:firstLineChars="200"/>
        <w:rPr>
          <w:rFonts w:hint="eastAsia" w:ascii="宋体"/>
          <w:kern w:val="0"/>
          <w:szCs w:val="22"/>
        </w:rPr>
      </w:pPr>
      <w:r>
        <w:rPr>
          <w:rFonts w:hint="eastAsia" w:ascii="宋体"/>
          <w:kern w:val="0"/>
          <w:szCs w:val="22"/>
        </w:rPr>
        <w:t>GB/T 23796-2009 病媒生物密度监测方法 蝇类</w:t>
      </w:r>
    </w:p>
    <w:p>
      <w:pPr>
        <w:widowControl/>
        <w:spacing w:before="90" w:line="300" w:lineRule="atLeast"/>
        <w:ind w:right="45" w:firstLine="420" w:firstLineChars="200"/>
        <w:rPr>
          <w:rFonts w:hint="eastAsia" w:ascii="宋体"/>
          <w:kern w:val="0"/>
          <w:szCs w:val="22"/>
        </w:rPr>
      </w:pPr>
      <w:r>
        <w:rPr>
          <w:rFonts w:hint="eastAsia" w:ascii="宋体"/>
          <w:kern w:val="0"/>
          <w:szCs w:val="22"/>
        </w:rPr>
        <w:t>GB 27772-2011-T 病媒生物密度控制水平 蝇类</w:t>
      </w:r>
    </w:p>
    <w:p>
      <w:pPr>
        <w:widowControl/>
        <w:spacing w:before="90" w:line="300" w:lineRule="atLeast"/>
        <w:ind w:right="45" w:firstLine="420" w:firstLineChars="200"/>
        <w:rPr>
          <w:rFonts w:hint="eastAsia" w:ascii="宋体"/>
          <w:kern w:val="0"/>
          <w:szCs w:val="22"/>
        </w:rPr>
      </w:pPr>
      <w:r>
        <w:rPr>
          <w:rFonts w:hint="eastAsia" w:ascii="宋体"/>
          <w:kern w:val="0"/>
          <w:szCs w:val="22"/>
        </w:rPr>
        <w:t>DB31 330.3-2007 鼠害与虫害预防与控制技术规范 第3部分：蝇类防制</w:t>
      </w:r>
    </w:p>
    <w:p>
      <w:pPr>
        <w:widowControl/>
        <w:spacing w:before="90" w:line="300" w:lineRule="atLeast"/>
        <w:ind w:right="45" w:firstLine="420" w:firstLineChars="200"/>
        <w:rPr>
          <w:rFonts w:hint="eastAsia" w:ascii="宋体"/>
          <w:kern w:val="0"/>
          <w:szCs w:val="22"/>
          <w:highlight w:val="yellow"/>
        </w:rPr>
      </w:pPr>
      <w:r>
        <w:rPr>
          <w:rFonts w:hint="eastAsia" w:ascii="宋体"/>
          <w:kern w:val="0"/>
          <w:szCs w:val="22"/>
        </w:rPr>
        <w:t>SZDBZ 207.3-2016 病媒生物预防控制技术规范 第3部分：蝇类</w:t>
      </w:r>
    </w:p>
    <w:p>
      <w:pPr>
        <w:widowControl/>
        <w:spacing w:before="90" w:line="300" w:lineRule="atLeast"/>
        <w:ind w:right="45"/>
        <w:rPr>
          <w:rFonts w:hint="eastAsia" w:ascii="黑体" w:eastAsia="黑体"/>
          <w:kern w:val="0"/>
          <w:szCs w:val="22"/>
        </w:rPr>
      </w:pPr>
      <w:r>
        <w:rPr>
          <w:rFonts w:hint="eastAsia" w:ascii="黑体" w:eastAsia="黑体"/>
          <w:kern w:val="0"/>
          <w:szCs w:val="22"/>
        </w:rPr>
        <w:t>3 术语和定义</w:t>
      </w:r>
    </w:p>
    <w:p>
      <w:pPr>
        <w:widowControl/>
        <w:spacing w:before="90" w:line="300" w:lineRule="atLeast"/>
        <w:ind w:right="45" w:firstLine="420" w:firstLineChars="200"/>
        <w:rPr>
          <w:rFonts w:hint="eastAsia" w:ascii="宋体"/>
          <w:kern w:val="0"/>
          <w:szCs w:val="22"/>
        </w:rPr>
      </w:pPr>
      <w:r>
        <w:rPr>
          <w:rFonts w:ascii="宋体"/>
          <w:kern w:val="0"/>
          <w:szCs w:val="22"/>
        </w:rPr>
        <w:t>3.1</w:t>
      </w:r>
      <w:r>
        <w:rPr>
          <w:rFonts w:hint="eastAsia" w:ascii="宋体"/>
          <w:kern w:val="0"/>
          <w:szCs w:val="22"/>
        </w:rPr>
        <w:t>蝇类：昆虫纲双翅目环裂亚目有瓣类，分为卵、幼虫、蛹和成虫四个虫态。</w:t>
      </w:r>
    </w:p>
    <w:p>
      <w:pPr>
        <w:widowControl/>
        <w:spacing w:before="90" w:line="300" w:lineRule="atLeast"/>
        <w:ind w:right="45" w:firstLine="420" w:firstLineChars="200"/>
        <w:rPr>
          <w:rFonts w:hint="eastAsia" w:ascii="宋体"/>
          <w:kern w:val="0"/>
          <w:szCs w:val="22"/>
        </w:rPr>
      </w:pPr>
      <w:r>
        <w:rPr>
          <w:rFonts w:ascii="宋体"/>
          <w:kern w:val="0"/>
          <w:szCs w:val="22"/>
        </w:rPr>
        <w:t>3.2</w:t>
      </w:r>
      <w:r>
        <w:rPr>
          <w:rFonts w:hint="eastAsia" w:ascii="宋体"/>
          <w:kern w:val="0"/>
          <w:szCs w:val="22"/>
        </w:rPr>
        <w:t>蝇类防制器具:以灭蝇为目的的捕蝇笼、粘蝇纸（带）、灭蝇绳、电子灭蝇灯等器具或设施。</w:t>
      </w:r>
    </w:p>
    <w:p>
      <w:pPr>
        <w:widowControl/>
        <w:spacing w:before="90" w:line="300" w:lineRule="atLeast"/>
        <w:ind w:right="45" w:firstLine="420" w:firstLineChars="200"/>
        <w:rPr>
          <w:rFonts w:ascii="宋体"/>
          <w:kern w:val="0"/>
          <w:szCs w:val="22"/>
        </w:rPr>
      </w:pPr>
      <w:r>
        <w:rPr>
          <w:rFonts w:ascii="宋体"/>
          <w:kern w:val="0"/>
          <w:szCs w:val="22"/>
        </w:rPr>
        <w:t>3.3</w:t>
      </w:r>
      <w:r>
        <w:rPr>
          <w:rFonts w:hint="eastAsia" w:ascii="宋体"/>
          <w:kern w:val="0"/>
          <w:szCs w:val="22"/>
        </w:rPr>
        <w:t>蝇饵料:由对蝇引诱力强的腐败动植物尸体或糖、醋、水按一定比例组合而成，例如腐鱼、骨粉、动物脏器、臭豆腐等。</w:t>
      </w:r>
    </w:p>
    <w:p>
      <w:pPr>
        <w:widowControl/>
        <w:spacing w:before="90" w:line="300" w:lineRule="atLeast"/>
        <w:ind w:right="45" w:firstLine="420" w:firstLineChars="200"/>
        <w:rPr>
          <w:rFonts w:hint="eastAsia" w:ascii="宋体"/>
          <w:kern w:val="0"/>
          <w:szCs w:val="22"/>
        </w:rPr>
      </w:pPr>
      <w:r>
        <w:rPr>
          <w:rFonts w:hint="eastAsia" w:ascii="宋体"/>
          <w:kern w:val="0"/>
          <w:szCs w:val="22"/>
        </w:rPr>
        <w:t>3.4捕蝇笼：用于引诱蝇类至封闭纱网中的灭蝇装置。</w:t>
      </w:r>
    </w:p>
    <w:p>
      <w:pPr>
        <w:widowControl/>
        <w:spacing w:before="90" w:line="300" w:lineRule="atLeast"/>
        <w:ind w:right="45" w:firstLine="420" w:firstLineChars="200"/>
        <w:rPr>
          <w:rFonts w:hint="eastAsia" w:ascii="宋体"/>
          <w:kern w:val="0"/>
          <w:szCs w:val="22"/>
        </w:rPr>
      </w:pPr>
      <w:r>
        <w:rPr>
          <w:rFonts w:hint="eastAsia" w:ascii="宋体"/>
          <w:kern w:val="0"/>
          <w:szCs w:val="22"/>
        </w:rPr>
        <w:t>3.5孳生地：存在适宜蝇类孳生的腐败动物、腐败植物、人粪、禽畜粪便和生活垃圾的容器或地点。</w:t>
      </w:r>
    </w:p>
    <w:p>
      <w:pPr>
        <w:widowControl/>
        <w:spacing w:before="90" w:line="300" w:lineRule="atLeast"/>
        <w:ind w:right="45" w:firstLine="420" w:firstLineChars="200"/>
        <w:rPr>
          <w:rFonts w:ascii="宋体"/>
          <w:kern w:val="0"/>
          <w:szCs w:val="22"/>
        </w:rPr>
      </w:pPr>
      <w:r>
        <w:rPr>
          <w:rFonts w:hint="eastAsia" w:ascii="宋体"/>
          <w:kern w:val="0"/>
          <w:szCs w:val="22"/>
        </w:rPr>
        <w:t>3.6蝇密度:单位面积或空间内监测到的蝇类数量或活动数量。用百分率表示。</w:t>
      </w:r>
    </w:p>
    <w:p>
      <w:pPr>
        <w:widowControl/>
        <w:spacing w:before="90" w:line="300" w:lineRule="atLeast"/>
        <w:ind w:right="45"/>
        <w:rPr>
          <w:rFonts w:hint="eastAsia" w:ascii="黑体" w:eastAsia="黑体"/>
          <w:kern w:val="0"/>
          <w:szCs w:val="22"/>
        </w:rPr>
      </w:pPr>
      <w:r>
        <w:rPr>
          <w:rFonts w:hint="eastAsia" w:ascii="黑体" w:eastAsia="黑体"/>
          <w:kern w:val="0"/>
          <w:szCs w:val="22"/>
        </w:rPr>
        <w:t>4 捕蝇笼规格</w:t>
      </w:r>
    </w:p>
    <w:p>
      <w:pPr>
        <w:widowControl/>
        <w:spacing w:before="90" w:line="300" w:lineRule="atLeast"/>
        <w:ind w:right="45" w:firstLine="420" w:firstLineChars="200"/>
        <w:rPr>
          <w:rFonts w:hint="eastAsia" w:ascii="宋体"/>
          <w:kern w:val="0"/>
          <w:szCs w:val="22"/>
        </w:rPr>
      </w:pPr>
      <w:r>
        <w:rPr>
          <w:rFonts w:hint="eastAsia" w:ascii="宋体"/>
          <w:kern w:val="0"/>
          <w:szCs w:val="22"/>
        </w:rPr>
        <w:t>5.1捕蝇笼构成与材质：由笼盖、内外双层纱网、饵料盘和挂绳（地插、地托）构成。外网多为圆柱形，内网呈锥形、中间进蝇口，笼盖一般由PVC等防雨材料制作，笼骨多为铁丝，也可用铁纱代替塑料纱网。</w:t>
      </w:r>
    </w:p>
    <w:p>
      <w:pPr>
        <w:widowControl/>
        <w:spacing w:before="90" w:line="276" w:lineRule="auto"/>
        <w:ind w:right="45" w:firstLine="420" w:firstLineChars="200"/>
        <w:rPr>
          <w:rFonts w:ascii="宋体"/>
          <w:kern w:val="0"/>
          <w:szCs w:val="22"/>
        </w:rPr>
      </w:pPr>
      <w:r>
        <w:rPr>
          <w:rFonts w:hint="eastAsia" w:ascii="宋体"/>
          <w:kern w:val="0"/>
          <w:szCs w:val="22"/>
        </w:rPr>
        <w:t>5.2捕蝇笼尺寸：直径为250mm，笼体高400mm，内网圆锥形芯高350mm，顶口直径25mm，如为落地式，笼脚高100-300mm，具体图例可参考《GBT 23796-2009 病媒生物密度监测方法 蝇类》附录A。商品化的捕蝇笼大小可为25cm×25cm×40cm的方形天幕式或直径20-25cm、高为35-40cm的圆形天幕式。笼底为一有沿平盘（饵料盘）。</w:t>
      </w:r>
    </w:p>
    <w:p>
      <w:pPr>
        <w:widowControl/>
        <w:spacing w:before="90" w:line="276" w:lineRule="auto"/>
        <w:ind w:right="45"/>
        <w:rPr>
          <w:rFonts w:ascii="黑体" w:eastAsia="黑体"/>
          <w:kern w:val="0"/>
          <w:szCs w:val="22"/>
        </w:rPr>
      </w:pPr>
      <w:r>
        <w:rPr>
          <w:rFonts w:hint="eastAsia" w:ascii="黑体" w:eastAsia="黑体"/>
          <w:kern w:val="0"/>
          <w:szCs w:val="22"/>
        </w:rPr>
        <w:t>5 捕蝇笼设置与维护</w:t>
      </w:r>
    </w:p>
    <w:p>
      <w:pPr>
        <w:widowControl/>
        <w:spacing w:before="90" w:line="276" w:lineRule="auto"/>
        <w:ind w:right="45" w:firstLine="420" w:firstLineChars="200"/>
        <w:rPr>
          <w:rFonts w:hint="eastAsia" w:ascii="宋体"/>
          <w:kern w:val="0"/>
          <w:szCs w:val="22"/>
        </w:rPr>
      </w:pPr>
      <w:r>
        <w:rPr>
          <w:rFonts w:hint="eastAsia" w:ascii="宋体"/>
          <w:kern w:val="0"/>
          <w:szCs w:val="22"/>
        </w:rPr>
        <w:t>5.1布放方法</w:t>
      </w:r>
    </w:p>
    <w:p>
      <w:pPr>
        <w:widowControl/>
        <w:spacing w:before="90" w:line="276" w:lineRule="auto"/>
        <w:ind w:right="45" w:firstLine="420" w:firstLineChars="200"/>
        <w:rPr>
          <w:rFonts w:hint="eastAsia" w:ascii="宋体"/>
          <w:kern w:val="0"/>
          <w:szCs w:val="22"/>
        </w:rPr>
      </w:pPr>
      <w:r>
        <w:rPr>
          <w:rFonts w:hint="eastAsia" w:ascii="宋体"/>
          <w:kern w:val="0"/>
          <w:szCs w:val="22"/>
        </w:rPr>
        <w:t>捕蝇笼适用于室外环境灭蝇，不应用于室内场所；应放置在蝇孳生地与蝇经常活动栖息场所；如公共厕所、垃圾桶周边。根据蝇的习性夏季应布放在庇荫处，春季和秋季布放在阳光处；捕蝇笼布放应适当远离受保护的区域；每年南方从3月至11月，北方从4月至10月在居民区、公共绿地、企事业单位院落、车站码头、农贸菜市场、食品加工场、畜牧场、垃圾中转站、公共厕所、垃圾桶附近等外环境以及有蝇活动的孳生地布放捕蝇笼。 捕蝇笼不宜放置过高，一般以着地放置为佳。</w:t>
      </w:r>
    </w:p>
    <w:p>
      <w:pPr>
        <w:widowControl/>
        <w:spacing w:before="90" w:line="276" w:lineRule="auto"/>
        <w:ind w:right="45" w:firstLine="420" w:firstLineChars="200"/>
        <w:rPr>
          <w:rFonts w:hint="eastAsia" w:ascii="宋体"/>
          <w:kern w:val="0"/>
          <w:szCs w:val="22"/>
        </w:rPr>
      </w:pPr>
      <w:r>
        <w:rPr>
          <w:rFonts w:hint="eastAsia" w:ascii="宋体"/>
          <w:kern w:val="0"/>
          <w:szCs w:val="22"/>
        </w:rPr>
        <w:t>5.2设置要求</w:t>
      </w:r>
    </w:p>
    <w:p>
      <w:pPr>
        <w:widowControl/>
        <w:spacing w:before="90" w:line="276" w:lineRule="auto"/>
        <w:ind w:right="45" w:firstLine="420" w:firstLineChars="200"/>
        <w:rPr>
          <w:rFonts w:hint="eastAsia" w:ascii="宋体"/>
          <w:kern w:val="0"/>
          <w:szCs w:val="22"/>
        </w:rPr>
      </w:pPr>
      <w:r>
        <w:rPr>
          <w:rFonts w:hint="eastAsia" w:ascii="宋体"/>
          <w:kern w:val="0"/>
          <w:szCs w:val="22"/>
        </w:rPr>
        <w:t>立式（落地式）捕蝇笼的饵料盘不低于地面10-30cm，吊挂式捕蝇笼的放置高度为笼底距地面不超过1.5米。6-9月份放置在遮阳面，其余月份放置在朝阳面。</w:t>
      </w:r>
    </w:p>
    <w:p>
      <w:pPr>
        <w:widowControl/>
        <w:spacing w:before="90" w:line="276" w:lineRule="auto"/>
        <w:ind w:right="45" w:firstLine="420" w:firstLineChars="200"/>
        <w:rPr>
          <w:rFonts w:hint="eastAsia" w:ascii="宋体"/>
          <w:kern w:val="0"/>
          <w:szCs w:val="22"/>
        </w:rPr>
      </w:pPr>
      <w:r>
        <w:rPr>
          <w:rFonts w:hint="eastAsia" w:ascii="宋体"/>
          <w:kern w:val="0"/>
          <w:szCs w:val="22"/>
        </w:rPr>
        <w:t>5.3管理维护</w:t>
      </w:r>
    </w:p>
    <w:p>
      <w:pPr>
        <w:widowControl/>
        <w:spacing w:before="90" w:line="276" w:lineRule="auto"/>
        <w:ind w:right="45" w:firstLine="420" w:firstLineChars="200"/>
        <w:rPr>
          <w:rFonts w:hint="eastAsia" w:ascii="宋体"/>
          <w:kern w:val="0"/>
          <w:szCs w:val="22"/>
        </w:rPr>
      </w:pPr>
      <w:r>
        <w:rPr>
          <w:rFonts w:hint="eastAsia" w:ascii="宋体"/>
          <w:kern w:val="0"/>
          <w:szCs w:val="22"/>
        </w:rPr>
        <w:t>为做好捕蝇笼的管理，布放捕蝇笼要进行统一编号，制作捕蝇笼布放位置图。5-10月，每月检查捕蝇笼2次，以专用蝇类诱饵剂为诱饵的捕蝇笼应每周检查1次，检查捕蝇笼的状态及诱饵，补充或更换诱饵，清除死蝇。检查、补充、更换诱饵，清除死蝇有记录。</w:t>
      </w:r>
    </w:p>
    <w:p>
      <w:pPr>
        <w:widowControl/>
        <w:spacing w:before="90" w:line="276" w:lineRule="auto"/>
        <w:ind w:right="45" w:firstLine="420" w:firstLineChars="200"/>
        <w:rPr>
          <w:rFonts w:hint="eastAsia" w:ascii="宋体"/>
          <w:kern w:val="0"/>
          <w:szCs w:val="22"/>
        </w:rPr>
      </w:pPr>
      <w:r>
        <w:rPr>
          <w:rFonts w:hint="eastAsia" w:ascii="宋体"/>
          <w:kern w:val="0"/>
          <w:szCs w:val="22"/>
        </w:rPr>
        <w:t>5.4注意事项</w:t>
      </w:r>
    </w:p>
    <w:p>
      <w:pPr>
        <w:widowControl/>
        <w:spacing w:before="90" w:line="276" w:lineRule="auto"/>
        <w:ind w:right="45" w:firstLine="420" w:firstLineChars="200"/>
        <w:rPr>
          <w:rFonts w:hint="eastAsia" w:ascii="宋体"/>
          <w:kern w:val="0"/>
          <w:szCs w:val="22"/>
        </w:rPr>
      </w:pPr>
      <w:r>
        <w:rPr>
          <w:rFonts w:hint="eastAsia" w:ascii="宋体"/>
          <w:kern w:val="0"/>
          <w:szCs w:val="22"/>
        </w:rPr>
        <w:t xml:space="preserve">5.4.1要想取得理想的诱捕效果最好使用专用的诱蝇剂，因为其不仅是纯生物制剂含有蝇类信息素强力诱蝇而且还具有防诱饵生蛆、霉变的特点。以达到在同一捕蝇点能诱捕到多种蝇类的目的。 </w:t>
      </w:r>
    </w:p>
    <w:p>
      <w:pPr>
        <w:widowControl/>
        <w:spacing w:before="90" w:line="276" w:lineRule="auto"/>
        <w:ind w:right="45" w:firstLine="420" w:firstLineChars="200"/>
        <w:rPr>
          <w:rFonts w:hint="eastAsia" w:ascii="宋体"/>
          <w:kern w:val="0"/>
          <w:szCs w:val="22"/>
        </w:rPr>
      </w:pPr>
      <w:r>
        <w:rPr>
          <w:rFonts w:hint="eastAsia" w:ascii="宋体"/>
          <w:kern w:val="0"/>
          <w:szCs w:val="22"/>
        </w:rPr>
        <w:t>5.4.2避免饵料成为蝇类孳生地，诱饵要定期检查和更换，建议春、冬季每星期更换，夏、秋季每3天更换或在诱饵中加入灭幼剂。饵料要荤素搭配，保持湿润，重量在200g以上。为避免风将诱饵盘吹翻，也可在其中加入一定比例的沙子或铁片增加配重。以鱼做饵料要发酵24小时以上</w:t>
      </w:r>
    </w:p>
    <w:p>
      <w:pPr>
        <w:widowControl/>
        <w:spacing w:before="90" w:line="276" w:lineRule="auto"/>
        <w:ind w:right="45" w:firstLine="420" w:firstLineChars="200"/>
        <w:rPr>
          <w:rFonts w:hint="eastAsia" w:ascii="宋体"/>
          <w:kern w:val="0"/>
          <w:szCs w:val="22"/>
        </w:rPr>
      </w:pPr>
      <w:r>
        <w:rPr>
          <w:rFonts w:hint="eastAsia" w:ascii="宋体"/>
          <w:kern w:val="0"/>
          <w:szCs w:val="22"/>
        </w:rPr>
        <w:t xml:space="preserve">5.4.3正确安装使用。立式捕蝇笼的饵料盘要高出绿地。吊挂式的防止安装位置过高；雨后及时对诱饵托盘清洁、排水及时补充、更新新鲜饵料。 </w:t>
      </w:r>
    </w:p>
    <w:p>
      <w:pPr>
        <w:widowControl/>
        <w:spacing w:before="90" w:line="276" w:lineRule="auto"/>
        <w:ind w:right="45" w:firstLine="420" w:firstLineChars="200"/>
        <w:rPr>
          <w:rFonts w:hint="eastAsia" w:ascii="宋体"/>
          <w:kern w:val="0"/>
          <w:szCs w:val="22"/>
        </w:rPr>
      </w:pPr>
      <w:r>
        <w:rPr>
          <w:rFonts w:hint="eastAsia" w:ascii="宋体"/>
          <w:kern w:val="0"/>
          <w:szCs w:val="22"/>
        </w:rPr>
        <w:t>5.4.4及时清理笼内蝇尸，用水清洗；做好台风、雨后的检查维护，发现损坏立即维修更新。</w:t>
      </w:r>
    </w:p>
    <w:p>
      <w:pPr>
        <w:widowControl/>
        <w:spacing w:before="90" w:line="300" w:lineRule="atLeast"/>
        <w:ind w:right="45"/>
        <w:rPr>
          <w:rFonts w:hint="eastAsia" w:ascii="黑体" w:eastAsia="黑体"/>
          <w:kern w:val="0"/>
          <w:szCs w:val="22"/>
        </w:rPr>
      </w:pPr>
      <w:r>
        <w:rPr>
          <w:rFonts w:hint="eastAsia" w:ascii="黑体" w:eastAsia="黑体"/>
          <w:kern w:val="0"/>
          <w:szCs w:val="22"/>
        </w:rPr>
        <w:t>6 不同场所捕蝇笼布放方法</w:t>
      </w:r>
    </w:p>
    <w:p>
      <w:pPr>
        <w:widowControl/>
        <w:spacing w:before="90" w:line="276" w:lineRule="auto"/>
        <w:ind w:right="45" w:firstLine="420" w:firstLineChars="200"/>
        <w:rPr>
          <w:rFonts w:hint="eastAsia" w:ascii="宋体"/>
          <w:kern w:val="0"/>
          <w:szCs w:val="22"/>
        </w:rPr>
      </w:pPr>
      <w:r>
        <w:rPr>
          <w:rFonts w:hint="eastAsia" w:ascii="宋体"/>
          <w:kern w:val="0"/>
          <w:szCs w:val="22"/>
        </w:rPr>
        <w:t>6.1农贸市场：监测环境内的捕蝇笼为避免农副产品对蝇类的引诱干扰，可将捕蝇笼设置在距离农贸集市50～100m的绿地内布放在垃圾箱、公厕、垃圾转运站旁2-3米处。室外绿地每间隔10-20米设置1只捕蝇笼。</w:t>
      </w:r>
    </w:p>
    <w:p>
      <w:pPr>
        <w:widowControl/>
        <w:spacing w:before="90" w:line="276" w:lineRule="auto"/>
        <w:ind w:right="45" w:firstLine="420" w:firstLineChars="200"/>
        <w:rPr>
          <w:rFonts w:hint="eastAsia" w:ascii="宋体"/>
          <w:kern w:val="0"/>
          <w:szCs w:val="22"/>
        </w:rPr>
      </w:pPr>
      <w:r>
        <w:rPr>
          <w:rFonts w:hint="eastAsia" w:ascii="宋体"/>
          <w:kern w:val="0"/>
          <w:szCs w:val="22"/>
        </w:rPr>
        <w:t>6.2宾馆饭店外环境：可在垃圾暂存处每处放捕蝇笼1个。</w:t>
      </w:r>
    </w:p>
    <w:p>
      <w:pPr>
        <w:widowControl/>
        <w:spacing w:before="90" w:line="276" w:lineRule="auto"/>
        <w:ind w:right="45" w:firstLine="420" w:firstLineChars="200"/>
        <w:rPr>
          <w:rFonts w:hint="eastAsia" w:ascii="宋体"/>
          <w:kern w:val="0"/>
          <w:szCs w:val="22"/>
        </w:rPr>
      </w:pPr>
      <w:r>
        <w:rPr>
          <w:rFonts w:hint="eastAsia" w:ascii="宋体"/>
          <w:kern w:val="0"/>
          <w:szCs w:val="22"/>
        </w:rPr>
        <w:t>6.3居民区或绿化带:每个垃圾桶1-2米处设置捕蝇笼1个。</w:t>
      </w:r>
    </w:p>
    <w:p>
      <w:pPr>
        <w:widowControl/>
        <w:spacing w:before="90" w:line="276" w:lineRule="auto"/>
        <w:ind w:right="45" w:firstLine="420" w:firstLineChars="200"/>
        <w:rPr>
          <w:rFonts w:hint="eastAsia" w:ascii="宋体"/>
          <w:kern w:val="0"/>
          <w:szCs w:val="22"/>
        </w:rPr>
      </w:pPr>
      <w:r>
        <w:rPr>
          <w:rFonts w:hint="eastAsia" w:ascii="宋体"/>
          <w:kern w:val="0"/>
          <w:szCs w:val="22"/>
        </w:rPr>
        <w:t>6.4事业单位：院落设置在楼幢间绿化带或两栋建筑物之间绿地内，间隔30-50米设置1只捕蝇笼。</w:t>
      </w:r>
    </w:p>
    <w:p>
      <w:pPr>
        <w:widowControl/>
        <w:spacing w:before="90" w:line="276" w:lineRule="auto"/>
        <w:ind w:right="45" w:firstLine="420" w:firstLineChars="200"/>
        <w:rPr>
          <w:rFonts w:hint="eastAsia" w:ascii="宋体"/>
          <w:kern w:val="0"/>
          <w:szCs w:val="22"/>
        </w:rPr>
      </w:pPr>
      <w:r>
        <w:rPr>
          <w:rFonts w:hint="eastAsia" w:ascii="宋体"/>
          <w:kern w:val="0"/>
          <w:szCs w:val="22"/>
        </w:rPr>
        <w:t>6.5食品生产加工企业：厂区外环境远离库房、生产厂房出入口处设置1-2只捕蝇笼。</w:t>
      </w:r>
    </w:p>
    <w:p>
      <w:pPr>
        <w:widowControl/>
        <w:spacing w:before="90" w:line="276" w:lineRule="auto"/>
        <w:ind w:right="45" w:firstLine="420" w:firstLineChars="200"/>
        <w:rPr>
          <w:rFonts w:hint="eastAsia" w:ascii="宋体"/>
          <w:kern w:val="0"/>
          <w:szCs w:val="22"/>
        </w:rPr>
      </w:pPr>
      <w:r>
        <w:rPr>
          <w:rFonts w:hint="eastAsia" w:ascii="宋体"/>
          <w:kern w:val="0"/>
          <w:szCs w:val="22"/>
        </w:rPr>
        <w:t>以上场所经调查若蝇患严重，可酌情增加捕蝇笼设置密度。</w:t>
      </w:r>
    </w:p>
    <w:p>
      <w:pPr>
        <w:widowControl/>
        <w:spacing w:before="90" w:line="300" w:lineRule="atLeast"/>
        <w:ind w:right="45"/>
        <w:rPr>
          <w:rFonts w:hint="eastAsia" w:ascii="黑体" w:eastAsia="黑体"/>
          <w:kern w:val="0"/>
          <w:szCs w:val="22"/>
        </w:rPr>
      </w:pPr>
      <w:r>
        <w:rPr>
          <w:rFonts w:hint="eastAsia" w:ascii="黑体" w:eastAsia="黑体"/>
          <w:kern w:val="0"/>
          <w:szCs w:val="22"/>
        </w:rPr>
        <w:t>7.效果评价</w:t>
      </w:r>
    </w:p>
    <w:p>
      <w:pPr>
        <w:widowControl/>
        <w:spacing w:before="90" w:line="276" w:lineRule="auto"/>
        <w:ind w:right="45" w:firstLine="420" w:firstLineChars="200"/>
        <w:rPr>
          <w:rFonts w:hint="eastAsia" w:ascii="宋体"/>
          <w:kern w:val="0"/>
          <w:szCs w:val="22"/>
        </w:rPr>
      </w:pPr>
      <w:r>
        <w:rPr>
          <w:rFonts w:hint="eastAsia" w:ascii="宋体"/>
          <w:kern w:val="0"/>
          <w:szCs w:val="22"/>
        </w:rPr>
        <w:t>7.1笼诱法：随机选择灭蝇区域内的农贸市场、餐饮外环境、绿化带和居民区，各不少于2处，每处放捕蝇笼1个，捕蝇笼着地放置。农贸市场监测环境内的捕蝇笼为避免农副产品对蝇类的引诱干扰，可将捕蝇笼设置在距离农贸集市50～100m的绿地内。基本诱饵为红糖、食醋（陈醋）饵（50g＋50g）＋50ml水。于第一天9:00前（各地可根据当地作息情况适当调整）布放，次日9:00左右收回。收笼后，用乙醚或氯仿杀死后分类，统计各蝇种的数量。记录监测当天的天气情况（气温、湿度、风力）。</w:t>
      </w:r>
    </w:p>
    <w:p>
      <w:pPr>
        <w:widowControl/>
        <w:spacing w:before="90" w:line="276" w:lineRule="auto"/>
        <w:ind w:right="45" w:firstLine="420" w:firstLineChars="200"/>
        <w:rPr>
          <w:rFonts w:hint="eastAsia" w:ascii="宋体"/>
          <w:kern w:val="0"/>
          <w:szCs w:val="22"/>
        </w:rPr>
      </w:pPr>
      <w:r>
        <w:rPr>
          <w:rFonts w:hint="eastAsia" w:ascii="宋体"/>
          <w:kern w:val="0"/>
          <w:szCs w:val="22"/>
        </w:rPr>
        <w:t>7.2目测法：根据GB/T27772-2011《病媒生物控制水平》要求检查餐饮店、商场、超市、机关、企业单位、饭店宾馆、农贸市场、医院、建筑拆迁工地、机场或车站室内成蝇，检查室内外蝇类孳生物；检查室外垃圾容器、垃圾中转站、外环境散在孳生地、公共厕所的蝇类孳生物。</w:t>
      </w:r>
    </w:p>
    <w:p>
      <w:pPr>
        <w:widowControl/>
        <w:spacing w:before="90" w:line="300" w:lineRule="atLeast"/>
        <w:ind w:right="45"/>
        <w:rPr>
          <w:rFonts w:hint="eastAsia" w:ascii="黑体" w:eastAsia="黑体"/>
          <w:kern w:val="0"/>
          <w:szCs w:val="22"/>
        </w:rPr>
      </w:pPr>
    </w:p>
    <w:p>
      <w:pPr>
        <w:pStyle w:val="2"/>
        <w:widowControl/>
        <w:jc w:val="center"/>
        <w:rPr>
          <w:rFonts w:hint="eastAsia" w:ascii="宋体" w:hAnsi="宋体" w:cs="宋体"/>
          <w:b/>
          <w:bCs/>
          <w:sz w:val="28"/>
          <w:szCs w:val="28"/>
        </w:rPr>
      </w:pPr>
      <w:r>
        <w:rPr>
          <w:rFonts w:hint="eastAsia" w:ascii="宋体" w:hAnsi="宋体" w:cs="宋体"/>
          <w:b/>
          <w:bCs/>
          <w:sz w:val="28"/>
          <w:szCs w:val="28"/>
        </w:rPr>
        <w:t>附录A</w:t>
      </w:r>
    </w:p>
    <w:p>
      <w:pPr>
        <w:pStyle w:val="2"/>
        <w:widowControl/>
        <w:jc w:val="center"/>
        <w:rPr>
          <w:rFonts w:hint="eastAsia" w:ascii="宋体" w:hAnsi="宋体" w:cs="宋体"/>
          <w:b/>
          <w:bCs/>
          <w:sz w:val="28"/>
          <w:szCs w:val="28"/>
        </w:rPr>
      </w:pPr>
      <w:r>
        <w:rPr>
          <w:rFonts w:hint="eastAsia" w:ascii="宋体" w:hAnsi="宋体" w:cs="宋体"/>
          <w:b/>
          <w:bCs/>
          <w:sz w:val="28"/>
          <w:szCs w:val="28"/>
        </w:rPr>
        <w:t>（资料性附录）</w:t>
      </w:r>
    </w:p>
    <w:p>
      <w:pPr>
        <w:widowControl/>
        <w:spacing w:before="90" w:line="300" w:lineRule="atLeast"/>
        <w:ind w:right="45" w:firstLine="422" w:firstLineChars="200"/>
        <w:jc w:val="center"/>
        <w:rPr>
          <w:rFonts w:hint="eastAsia" w:ascii="宋体"/>
          <w:b/>
          <w:kern w:val="0"/>
          <w:szCs w:val="22"/>
        </w:rPr>
      </w:pPr>
      <w:r>
        <w:rPr>
          <w:rFonts w:hint="eastAsia" w:ascii="宋体"/>
          <w:b/>
          <w:kern w:val="0"/>
          <w:szCs w:val="22"/>
        </w:rPr>
        <w:t>捕蝇笼现场布放登记表</w:t>
      </w:r>
    </w:p>
    <w:tbl>
      <w:tblPr>
        <w:tblStyle w:val="3"/>
        <w:tblW w:w="5000" w:type="pct"/>
        <w:tblInd w:w="0" w:type="dxa"/>
        <w:tblLayout w:type="autofit"/>
        <w:tblCellMar>
          <w:top w:w="0" w:type="dxa"/>
          <w:left w:w="108" w:type="dxa"/>
          <w:bottom w:w="0" w:type="dxa"/>
          <w:right w:w="108" w:type="dxa"/>
        </w:tblCellMar>
      </w:tblPr>
      <w:tblGrid>
        <w:gridCol w:w="3206"/>
        <w:gridCol w:w="2029"/>
        <w:gridCol w:w="1797"/>
        <w:gridCol w:w="2538"/>
      </w:tblGrid>
      <w:tr>
        <w:tblPrEx>
          <w:tblCellMar>
            <w:top w:w="0" w:type="dxa"/>
            <w:left w:w="108" w:type="dxa"/>
            <w:bottom w:w="0" w:type="dxa"/>
            <w:right w:w="108" w:type="dxa"/>
          </w:tblCellMar>
        </w:tblPrEx>
        <w:trPr>
          <w:trHeight w:val="288" w:hRule="atLeast"/>
        </w:trPr>
        <w:tc>
          <w:tcPr>
            <w:tcW w:w="167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地点</w:t>
            </w:r>
          </w:p>
        </w:tc>
        <w:tc>
          <w:tcPr>
            <w:tcW w:w="106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93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经纬度</w:t>
            </w:r>
          </w:p>
        </w:tc>
        <w:tc>
          <w:tcPr>
            <w:tcW w:w="1326" w:type="pct"/>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原毒饵有无发霉</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原毒饵有无蝇类孳生</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原毒饵剩余数量</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投放/更换毒饵种类</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投放/更换毒饵数量</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捕蝇笼有无破损</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是否更换捕蝇笼</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捕蝇笼是否丢失</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捕蝇数量</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是否清除死蝇</w:t>
            </w:r>
          </w:p>
        </w:tc>
        <w:tc>
          <w:tcPr>
            <w:tcW w:w="3325" w:type="pct"/>
            <w:gridSpan w:val="3"/>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312" w:hRule="atLeast"/>
        </w:trPr>
        <w:tc>
          <w:tcPr>
            <w:tcW w:w="1675"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其他事项</w:t>
            </w:r>
          </w:p>
        </w:tc>
        <w:tc>
          <w:tcPr>
            <w:tcW w:w="3325" w:type="pct"/>
            <w:gridSpan w:val="3"/>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2" w:hRule="atLeast"/>
        </w:trPr>
        <w:tc>
          <w:tcPr>
            <w:tcW w:w="1675"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3325" w:type="pct"/>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8" w:hRule="atLeast"/>
        </w:trPr>
        <w:tc>
          <w:tcPr>
            <w:tcW w:w="1675"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日期</w:t>
            </w:r>
          </w:p>
        </w:tc>
        <w:tc>
          <w:tcPr>
            <w:tcW w:w="1060" w:type="pct"/>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3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工作人员姓名</w:t>
            </w:r>
          </w:p>
        </w:tc>
        <w:tc>
          <w:tcPr>
            <w:tcW w:w="1326" w:type="pct"/>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pStyle w:val="2"/>
        <w:widowControl/>
        <w:jc w:val="center"/>
        <w:rPr>
          <w:rFonts w:hint="eastAsia" w:ascii="仿宋_GB2312" w:hAnsi="宋体" w:eastAsia="仿宋_GB2312" w:cs="宋体"/>
          <w:bCs/>
          <w:color w:val="333333"/>
          <w:sz w:val="28"/>
          <w:szCs w:val="28"/>
        </w:rPr>
      </w:pPr>
    </w:p>
    <w:p>
      <w:pPr>
        <w:pStyle w:val="2"/>
        <w:widowControl/>
        <w:rPr>
          <w:rFonts w:hint="eastAsia" w:ascii="仿宋_GB2312" w:hAnsi="宋体" w:eastAsia="仿宋_GB2312" w:cs="宋体"/>
          <w:bCs/>
          <w:color w:val="333333"/>
          <w:sz w:val="28"/>
          <w:szCs w:val="28"/>
          <w:highlight w:val="yellow"/>
        </w:rPr>
      </w:pPr>
    </w:p>
    <w:p>
      <w:pPr>
        <w:pStyle w:val="2"/>
        <w:widowControl/>
        <w:rPr>
          <w:rFonts w:hint="eastAsia" w:ascii="仿宋_GB2312" w:hAnsi="宋体" w:eastAsia="仿宋_GB2312" w:cs="宋体"/>
          <w:bCs/>
          <w:color w:val="333333"/>
          <w:sz w:val="28"/>
          <w:szCs w:val="28"/>
          <w:highlight w:val="yellow"/>
        </w:rPr>
      </w:pPr>
    </w:p>
    <w:p>
      <w:pPr>
        <w:pStyle w:val="2"/>
        <w:widowControl/>
        <w:rPr>
          <w:rFonts w:hint="eastAsia" w:ascii="仿宋_GB2312" w:hAnsi="宋体" w:eastAsia="仿宋_GB2312" w:cs="宋体"/>
          <w:bCs/>
          <w:color w:val="333333"/>
          <w:sz w:val="28"/>
          <w:szCs w:val="28"/>
          <w:highlight w:val="yellow"/>
        </w:rPr>
      </w:pPr>
    </w:p>
    <w:p>
      <w:pPr>
        <w:pStyle w:val="2"/>
        <w:widowControl/>
        <w:rPr>
          <w:rFonts w:hint="eastAsia" w:ascii="仿宋_GB2312" w:hAnsi="宋体" w:eastAsia="仿宋_GB2312" w:cs="宋体"/>
          <w:bCs/>
          <w:color w:val="333333"/>
          <w:sz w:val="28"/>
          <w:szCs w:val="28"/>
          <w:highlight w:val="yellow"/>
        </w:rPr>
      </w:pPr>
    </w:p>
    <w:p>
      <w:pPr>
        <w:pStyle w:val="25"/>
        <w:numPr>
          <w:ilvl w:val="0"/>
          <w:numId w:val="0"/>
        </w:numPr>
        <w:rPr>
          <w:rFonts w:hint="eastAsia"/>
        </w:rPr>
      </w:pPr>
    </w:p>
    <w:p/>
    <w:sectPr>
      <w:headerReference r:id="rId3" w:type="default"/>
      <w:footerReference r:id="rId4"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5"/>
      <w:suff w:val="nothing"/>
      <w:lvlText w:val="%1　"/>
      <w:lvlJc w:val="left"/>
      <w:pPr>
        <w:ind w:left="142"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E61320"/>
    <w:rsid w:val="5E2B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
    <w:name w:val="其他标准标志"/>
    <w:basedOn w:val="7"/>
    <w:qFormat/>
    <w:uiPriority w:val="0"/>
    <w:pPr>
      <w:framePr w:w="6101" w:vAnchor="page" w:hAnchor="page" w:x="4673" w:y="942"/>
    </w:pPr>
    <w:rPr>
      <w:w w:val="130"/>
    </w:rPr>
  </w:style>
  <w:style w:type="paragraph" w:customStyle="1" w:styleId="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
    <w:name w:val="封面一致性程度标识"/>
    <w:basedOn w:val="12"/>
    <w:qFormat/>
    <w:uiPriority w:val="0"/>
    <w:pPr>
      <w:spacing w:before="440"/>
    </w:pPr>
    <w:rPr>
      <w:rFonts w:ascii="宋体" w:eastAsia="宋体"/>
    </w:rPr>
  </w:style>
  <w:style w:type="paragraph" w:customStyle="1" w:styleId="12">
    <w:name w:val="封面标准英文名称"/>
    <w:basedOn w:val="13"/>
    <w:qFormat/>
    <w:uiPriority w:val="0"/>
    <w:pPr>
      <w:spacing w:before="370" w:line="400" w:lineRule="exact"/>
    </w:pPr>
    <w:rPr>
      <w:rFonts w:ascii="Times New Roman"/>
      <w:sz w:val="28"/>
      <w:szCs w:val="28"/>
    </w:rPr>
  </w:style>
  <w:style w:type="paragraph" w:customStyle="1" w:styleId="1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
    <w:name w:val="封面标准文稿类别"/>
    <w:basedOn w:val="11"/>
    <w:qFormat/>
    <w:uiPriority w:val="0"/>
    <w:pPr>
      <w:spacing w:after="160" w:line="240" w:lineRule="auto"/>
    </w:pPr>
    <w:rPr>
      <w:sz w:val="24"/>
    </w:rPr>
  </w:style>
  <w:style w:type="paragraph" w:customStyle="1" w:styleId="15">
    <w:name w:val="封面标准文稿编辑信息"/>
    <w:basedOn w:val="14"/>
    <w:qFormat/>
    <w:uiPriority w:val="0"/>
    <w:pPr>
      <w:spacing w:before="180" w:line="180" w:lineRule="exact"/>
    </w:pPr>
    <w:rPr>
      <w:sz w:val="21"/>
    </w:rPr>
  </w:style>
  <w:style w:type="paragraph" w:customStyle="1" w:styleId="16">
    <w:name w:val="其他发布日期"/>
    <w:basedOn w:val="17"/>
    <w:qFormat/>
    <w:uiPriority w:val="0"/>
    <w:pPr>
      <w:framePr w:vAnchor="page" w:hAnchor="page" w:x="1419"/>
    </w:pPr>
  </w:style>
  <w:style w:type="paragraph" w:customStyle="1" w:styleId="1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8">
    <w:name w:val="其他实施日期"/>
    <w:basedOn w:val="19"/>
    <w:qFormat/>
    <w:uiPriority w:val="0"/>
  </w:style>
  <w:style w:type="paragraph" w:customStyle="1" w:styleId="19">
    <w:name w:val="实施日期"/>
    <w:basedOn w:val="17"/>
    <w:qFormat/>
    <w:uiPriority w:val="0"/>
    <w:pPr>
      <w:framePr w:vAnchor="page" w:hAnchor="page"/>
      <w:jc w:val="right"/>
    </w:pPr>
  </w:style>
  <w:style w:type="paragraph" w:customStyle="1" w:styleId="20">
    <w:name w:val="其他发布部门"/>
    <w:basedOn w:val="21"/>
    <w:qFormat/>
    <w:uiPriority w:val="0"/>
    <w:pPr>
      <w:framePr w:y="15310"/>
      <w:spacing w:line="0" w:lineRule="atLeast"/>
    </w:pPr>
    <w:rPr>
      <w:rFonts w:ascii="黑体" w:eastAsia="黑体"/>
      <w:b w:val="0"/>
    </w:rPr>
  </w:style>
  <w:style w:type="paragraph" w:customStyle="1" w:styleId="21">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发布"/>
    <w:qFormat/>
    <w:uiPriority w:val="0"/>
    <w:rPr>
      <w:rFonts w:ascii="黑体" w:eastAsia="黑体"/>
      <w:spacing w:val="85"/>
      <w:w w:val="100"/>
      <w:position w:val="3"/>
      <w:sz w:val="28"/>
      <w:szCs w:val="28"/>
    </w:rPr>
  </w:style>
  <w:style w:type="paragraph" w:customStyle="1" w:styleId="24">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5">
    <w:name w:val="章标题"/>
    <w:next w:val="22"/>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2021-10-14T07:02:00Z</dcterms:created>
  <dc:creator>Administrator</dc:creator>
  <cp:lastModifiedBy>赵启源</cp:lastModifiedBy>
  <dcterms:modified xsi:type="dcterms:W3CDTF">2021-10-14T07:12:27Z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